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0" w:lineRule="exact"/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附件1：</w:t>
      </w:r>
    </w:p>
    <w:p>
      <w:pPr>
        <w:widowControl/>
        <w:spacing w:line="540" w:lineRule="exact"/>
        <w:jc w:val="center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国家开放大学2018年度重点课题指南</w:t>
      </w:r>
    </w:p>
    <w:p>
      <w:pPr>
        <w:widowControl/>
        <w:spacing w:before="240" w:line="540" w:lineRule="exact"/>
        <w:jc w:val="left"/>
        <w:rPr>
          <w:rFonts w:ascii="Times New Roman" w:hAnsi="Times New Roman" w:eastAsia="仿宋_GB2312" w:cs="Times New Roman"/>
          <w:b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b/>
          <w:kern w:val="0"/>
          <w:sz w:val="30"/>
          <w:szCs w:val="30"/>
        </w:rPr>
        <w:t>一、理论与政策研究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1.1 网络教育理论与政策研究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1.2 成人教育与终身学习理论与政策研究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1.3 教育现代化理论与政策研究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1.4 智能教育理论与应用研究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b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b/>
          <w:kern w:val="0"/>
          <w:sz w:val="30"/>
          <w:szCs w:val="30"/>
        </w:rPr>
        <w:t>二、开放大学管理研究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2.1 开放大学办学模式研究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2.2 “国开共同体”建设研究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b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b/>
          <w:kern w:val="0"/>
          <w:sz w:val="30"/>
          <w:szCs w:val="30"/>
        </w:rPr>
        <w:t>三、课程与教学研究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3.1 新技术远程教育教学应用研究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3.2 远程教育教学模式研究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3.3 远程教育教学效果评估研究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b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b/>
          <w:kern w:val="0"/>
          <w:sz w:val="30"/>
          <w:szCs w:val="30"/>
        </w:rPr>
        <w:t>四、学习科学与技术研究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4.1 互联网时代学习素养研究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4.2 面向泛在学习的学习环境研究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4.3 面向移动学习的教学创新研究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4.4 自适应学习技术的应用研究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b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b/>
          <w:kern w:val="0"/>
          <w:sz w:val="30"/>
          <w:szCs w:val="30"/>
        </w:rPr>
        <w:t>五、教师发展研究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5.1 开放大学教师队伍质量标准研究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5.2 开放大学体系教师队伍素质研究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5.3 开放大学教师职业生涯发展研究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b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b/>
          <w:kern w:val="0"/>
          <w:sz w:val="30"/>
          <w:szCs w:val="30"/>
        </w:rPr>
        <w:t>六、资源与社会服务研究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6.1 慕课建设与发展研究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6.2 微课（含五分钟课程）建设与应用模式研究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6.3 社区教育资源建设和服务模式研究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6.4 老年教育资源建设和服务模式研究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b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b/>
          <w:kern w:val="0"/>
          <w:sz w:val="30"/>
          <w:szCs w:val="30"/>
        </w:rPr>
        <w:t>七、教育质量保证研究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7.1 在线教学质量评价研究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7.2在线教育质量保证研究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7.3远程开放教育第三方评估研究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b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b/>
          <w:kern w:val="0"/>
          <w:sz w:val="30"/>
          <w:szCs w:val="30"/>
        </w:rPr>
        <w:t>八、国际与比较教育研究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8.1 国际远程教育组织研究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8.2“一带一路”沿线国家开放大学研究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8.3开放大学国际合作与发展研究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b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b/>
          <w:kern w:val="0"/>
          <w:sz w:val="30"/>
          <w:szCs w:val="30"/>
        </w:rPr>
        <w:t>九、特定群体教育研究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9.1 民族地区远程教育研究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9.2农民远程教育研究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 xml:space="preserve">9.3士官远程教育研究 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 xml:space="preserve">9.4女性远程教育研究  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 xml:space="preserve">9.5残障人士远程教育研究 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9.6其他特殊群体远程教育研究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b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b/>
          <w:kern w:val="0"/>
          <w:sz w:val="30"/>
          <w:szCs w:val="30"/>
        </w:rPr>
        <w:t>十、其他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10.1国内外远程高等教育发展研究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10.2 “三区三州”、“长征带”教育精准扶贫研究</w:t>
      </w:r>
    </w:p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10.3学分银行服务体系建设研究</w:t>
      </w:r>
      <w:bookmarkStart w:id="0" w:name="_GoBack"/>
      <w:bookmarkEnd w:id="0"/>
    </w:p>
    <w:sectPr>
      <w:footerReference r:id="rId3" w:type="default"/>
      <w:pgSz w:w="16838" w:h="11906" w:orient="landscape"/>
      <w:pgMar w:top="1588" w:right="1588" w:bottom="1588" w:left="181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2320A8-3A0B-487E-957B-9513951D1E60}">
  <ds:schemaRefs/>
</ds:datastoreItem>
</file>